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3B452AA1"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837F6">
        <w:rPr>
          <w:rFonts w:cs="Arial"/>
          <w:b/>
          <w:bCs/>
        </w:rPr>
        <w:t>27 September 2023</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3529E685"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186B7B">
        <w:rPr>
          <w:rFonts w:cs="Arial"/>
          <w:b/>
          <w:bCs/>
        </w:rPr>
        <w:t>Law &amp; Governance</w:t>
      </w:r>
      <w:r w:rsidR="00832739">
        <w:rPr>
          <w:rFonts w:cs="Arial"/>
          <w:b/>
          <w:bCs/>
        </w:rPr>
        <w:t xml:space="preserve"> </w:t>
      </w:r>
      <w:r>
        <w:rPr>
          <w:rFonts w:cs="Arial"/>
          <w:b/>
          <w:bCs/>
        </w:rPr>
        <w:tab/>
      </w:r>
    </w:p>
    <w:p w14:paraId="7173CC90" w14:textId="77777777" w:rsidR="00F4367A" w:rsidRDefault="00F4367A">
      <w:pPr>
        <w:tabs>
          <w:tab w:val="left" w:pos="2160"/>
        </w:tabs>
        <w:rPr>
          <w:rFonts w:cs="Arial"/>
          <w:b/>
          <w:bCs/>
        </w:rPr>
      </w:pPr>
    </w:p>
    <w:p w14:paraId="027B9EE9" w14:textId="6AA54A12" w:rsidR="00F4367A" w:rsidRDefault="00F4367A" w:rsidP="004C5B6A">
      <w:pPr>
        <w:tabs>
          <w:tab w:val="left" w:pos="2160"/>
        </w:tabs>
        <w:ind w:left="2160" w:hanging="2160"/>
        <w:rPr>
          <w:rFonts w:cs="Arial"/>
          <w:b/>
          <w:bCs/>
        </w:rPr>
      </w:pPr>
      <w:r>
        <w:rPr>
          <w:rFonts w:cs="Arial"/>
          <w:b/>
          <w:bCs/>
        </w:rPr>
        <w:t>Title of Report:</w:t>
      </w:r>
      <w:r>
        <w:rPr>
          <w:rFonts w:cs="Arial"/>
          <w:b/>
          <w:bCs/>
        </w:rPr>
        <w:tab/>
      </w:r>
      <w:r w:rsidR="00D90BB4">
        <w:rPr>
          <w:rFonts w:cs="Arial"/>
          <w:b/>
          <w:bCs/>
        </w:rPr>
        <w:t xml:space="preserve">Regulation of Investigatory Powers </w:t>
      </w:r>
      <w:r w:rsidR="00B96F4C">
        <w:rPr>
          <w:rFonts w:cs="Arial"/>
          <w:b/>
          <w:bCs/>
        </w:rPr>
        <w:t xml:space="preserve">Act 2000 – Surveillance </w:t>
      </w:r>
      <w:r w:rsidR="00446FDB">
        <w:rPr>
          <w:rFonts w:cs="Arial"/>
          <w:b/>
          <w:bCs/>
        </w:rPr>
        <w:t xml:space="preserve">Policy </w:t>
      </w:r>
      <w:r w:rsidR="00B96F4C">
        <w:rPr>
          <w:rFonts w:cs="Arial"/>
          <w:b/>
          <w:bCs/>
        </w:rPr>
        <w:t xml:space="preserve">and Procedure </w:t>
      </w:r>
      <w:r w:rsidR="00F837F6">
        <w:rPr>
          <w:rFonts w:cs="Arial"/>
          <w:b/>
          <w:bCs/>
        </w:rPr>
        <w:t>Flowcharts</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55461B4B" w:rsidR="00AF136A" w:rsidRDefault="00446FDB" w:rsidP="00D90BB4">
      <w:pPr>
        <w:pBdr>
          <w:top w:val="single" w:sz="4" w:space="1" w:color="auto"/>
          <w:left w:val="single" w:sz="4" w:space="4" w:color="auto"/>
          <w:bottom w:val="single" w:sz="4" w:space="1" w:color="auto"/>
          <w:right w:val="single" w:sz="4" w:space="3" w:color="auto"/>
        </w:pBdr>
        <w:rPr>
          <w:rFonts w:cs="Arial"/>
        </w:rPr>
      </w:pPr>
      <w:r>
        <w:rPr>
          <w:rFonts w:cs="Arial"/>
        </w:rPr>
        <w:t xml:space="preserve">To present </w:t>
      </w:r>
      <w:r w:rsidR="00F837F6">
        <w:rPr>
          <w:rFonts w:cs="Arial"/>
        </w:rPr>
        <w:t>two flowcharts</w:t>
      </w:r>
      <w:r w:rsidR="007D4A2F">
        <w:rPr>
          <w:rFonts w:cs="Arial"/>
        </w:rPr>
        <w:t>,</w:t>
      </w:r>
      <w:r w:rsidR="00F837F6">
        <w:rPr>
          <w:rFonts w:cs="Arial"/>
        </w:rPr>
        <w:t xml:space="preserve"> for inclusion in the</w:t>
      </w:r>
      <w:r w:rsidR="00D90BB4">
        <w:rPr>
          <w:rFonts w:cs="Arial"/>
        </w:rPr>
        <w:t xml:space="preserve"> </w:t>
      </w:r>
      <w:r w:rsidR="00D90BB4" w:rsidRPr="00D90BB4">
        <w:rPr>
          <w:rFonts w:cs="Arial"/>
        </w:rPr>
        <w:t>Regulation of Investigatory Powers</w:t>
      </w:r>
      <w:r w:rsidR="00D90BB4">
        <w:rPr>
          <w:rFonts w:cs="Arial"/>
        </w:rPr>
        <w:t xml:space="preserve"> </w:t>
      </w:r>
      <w:r w:rsidR="00B96F4C">
        <w:rPr>
          <w:rFonts w:cs="Arial"/>
        </w:rPr>
        <w:t xml:space="preserve">Surveillance </w:t>
      </w:r>
      <w:r w:rsidR="00D90BB4">
        <w:rPr>
          <w:rFonts w:cs="Arial"/>
        </w:rPr>
        <w:t>Policy</w:t>
      </w:r>
      <w:r w:rsidR="00B96F4C">
        <w:rPr>
          <w:rFonts w:cs="Arial"/>
        </w:rPr>
        <w:t xml:space="preserve"> and Procedure</w:t>
      </w:r>
      <w:r w:rsidR="007D4A2F">
        <w:rPr>
          <w:rFonts w:cs="Arial"/>
        </w:rPr>
        <w:t>,</w:t>
      </w:r>
      <w:r w:rsidR="00D90BB4">
        <w:rPr>
          <w:rFonts w:cs="Arial"/>
        </w:rPr>
        <w:t xml:space="preserve"> for approval </w:t>
      </w:r>
      <w:r>
        <w:rPr>
          <w:rFonts w:cs="Arial"/>
        </w:rPr>
        <w:t>and adoption.</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6D8F9A19"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 xml:space="preserve">Councillor </w:t>
      </w:r>
      <w:r w:rsidR="00D90BB4">
        <w:rPr>
          <w:rFonts w:cs="Arial"/>
          <w:bCs/>
        </w:rPr>
        <w:t>Susan Brown</w:t>
      </w:r>
      <w:r w:rsidR="00B96F4C">
        <w:rPr>
          <w:rFonts w:cs="Arial"/>
          <w:bCs/>
        </w:rPr>
        <w:t xml:space="preserve"> - </w:t>
      </w:r>
      <w:r w:rsidR="00B96F4C" w:rsidRPr="00B96F4C">
        <w:rPr>
          <w:rFonts w:cs="Arial"/>
          <w:bCs/>
        </w:rPr>
        <w:t>Cabinet Member for Inclusive Economy and Partnerships</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5A13ABE3"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sidRPr="007D4A2F">
        <w:rPr>
          <w:rFonts w:cs="Arial"/>
          <w:bCs/>
        </w:rPr>
        <w:t xml:space="preserve">Corporate Plan Priority – </w:t>
      </w:r>
      <w:r w:rsidR="00D710AB" w:rsidRPr="007D4A2F">
        <w:rPr>
          <w:rFonts w:cs="Arial"/>
          <w:bCs/>
        </w:rPr>
        <w:t>Enable an Inclusive Economy</w:t>
      </w:r>
      <w:r w:rsidR="000F6243" w:rsidRPr="007D4A2F">
        <w:rPr>
          <w:rFonts w:cs="Arial"/>
          <w:bCs/>
        </w:rPr>
        <w:t>, Support Thriving Communities</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5243A18F"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446FDB">
        <w:rPr>
          <w:rFonts w:cs="Arial"/>
        </w:rPr>
        <w:t>That the Committee approve</w:t>
      </w:r>
      <w:r w:rsidR="00D90BB4">
        <w:rPr>
          <w:rFonts w:cs="Arial"/>
        </w:rPr>
        <w:t>s</w:t>
      </w:r>
      <w:r w:rsidR="00446FDB">
        <w:rPr>
          <w:rFonts w:cs="Arial"/>
        </w:rPr>
        <w:t xml:space="preserve"> the </w:t>
      </w:r>
      <w:r w:rsidR="00F837F6">
        <w:rPr>
          <w:rFonts w:cs="Arial"/>
        </w:rPr>
        <w:t xml:space="preserve">two flowcharts, </w:t>
      </w:r>
      <w:r w:rsidR="00F837F6" w:rsidRPr="00F837F6">
        <w:rPr>
          <w:rFonts w:cs="Arial"/>
        </w:rPr>
        <w:t>at Appendix 1 to the report</w:t>
      </w:r>
      <w:r w:rsidR="00F837F6">
        <w:rPr>
          <w:rFonts w:cs="Arial"/>
        </w:rPr>
        <w:t>,</w:t>
      </w:r>
      <w:r w:rsidR="00F837F6" w:rsidRPr="00F837F6">
        <w:rPr>
          <w:rFonts w:cs="Arial"/>
        </w:rPr>
        <w:t xml:space="preserve"> </w:t>
      </w:r>
      <w:r w:rsidR="00F837F6">
        <w:rPr>
          <w:rFonts w:cs="Arial"/>
        </w:rPr>
        <w:t>for inclusion in the</w:t>
      </w:r>
      <w:r w:rsidR="00446FDB">
        <w:rPr>
          <w:rFonts w:cs="Arial"/>
        </w:rPr>
        <w:t xml:space="preserve"> </w:t>
      </w:r>
      <w:r w:rsidR="00B96F4C">
        <w:rPr>
          <w:rFonts w:cs="Arial"/>
        </w:rPr>
        <w:t>Surveillance Policy and Procedure</w:t>
      </w:r>
      <w:r w:rsidR="00446FDB">
        <w:rPr>
          <w:rFonts w:cs="Arial"/>
        </w:rPr>
        <w:t>.</w:t>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650DE783" w:rsidR="007F2AD3" w:rsidRPr="00825D98" w:rsidRDefault="005729D3">
      <w:pPr>
        <w:rPr>
          <w:rFonts w:cs="Arial"/>
          <w:highlight w:val="yellow"/>
        </w:rPr>
      </w:pPr>
      <w:r w:rsidRPr="001A5BB0">
        <w:rPr>
          <w:rFonts w:cs="Arial"/>
          <w:b/>
        </w:rPr>
        <w:t xml:space="preserve">Appendix 1 – </w:t>
      </w:r>
      <w:r w:rsidR="00F3648C" w:rsidRPr="00F3648C">
        <w:rPr>
          <w:rFonts w:cs="Arial"/>
        </w:rPr>
        <w:t>Draft</w:t>
      </w:r>
      <w:r w:rsidR="00F3648C">
        <w:rPr>
          <w:rFonts w:cs="Arial"/>
          <w:b/>
        </w:rPr>
        <w:t xml:space="preserve"> </w:t>
      </w:r>
      <w:r w:rsidR="00780F77">
        <w:rPr>
          <w:rFonts w:cs="Arial"/>
          <w:bCs/>
        </w:rPr>
        <w:t>Surveillance</w:t>
      </w:r>
      <w:r w:rsidR="00D90BB4" w:rsidRPr="00D90BB4">
        <w:rPr>
          <w:rFonts w:cs="Arial"/>
          <w:bCs/>
        </w:rPr>
        <w:t xml:space="preserve"> </w:t>
      </w:r>
      <w:r w:rsidR="00D710AB">
        <w:rPr>
          <w:rFonts w:cs="Arial"/>
        </w:rPr>
        <w:t>Policy</w:t>
      </w:r>
      <w:r w:rsidR="00F3648C">
        <w:rPr>
          <w:rFonts w:cs="Arial"/>
        </w:rPr>
        <w:t xml:space="preserve"> and Procedure</w:t>
      </w:r>
      <w:r w:rsidR="00F837F6">
        <w:rPr>
          <w:rFonts w:cs="Arial"/>
        </w:rPr>
        <w:t xml:space="preserve"> flowcharts</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09D2B59D" w14:textId="77777777" w:rsidR="009471F5" w:rsidRPr="002A48DC" w:rsidRDefault="009471F5" w:rsidP="000F6243">
      <w:pPr>
        <w:autoSpaceDE w:val="0"/>
        <w:autoSpaceDN w:val="0"/>
        <w:adjustRightInd w:val="0"/>
        <w:jc w:val="both"/>
        <w:rPr>
          <w:rFonts w:cs="Arial"/>
          <w:b/>
          <w:lang w:eastAsia="en-GB"/>
        </w:rPr>
      </w:pPr>
    </w:p>
    <w:p w14:paraId="738E0CE4" w14:textId="424411F0" w:rsidR="00036F46" w:rsidRDefault="000F6243" w:rsidP="000F6243">
      <w:pPr>
        <w:pStyle w:val="ListParagraph"/>
        <w:numPr>
          <w:ilvl w:val="0"/>
          <w:numId w:val="1"/>
        </w:numPr>
        <w:autoSpaceDE w:val="0"/>
        <w:autoSpaceDN w:val="0"/>
        <w:adjustRightInd w:val="0"/>
        <w:rPr>
          <w:rFonts w:cs="Arial"/>
          <w:lang w:eastAsia="en-GB"/>
        </w:rPr>
      </w:pPr>
      <w:r>
        <w:rPr>
          <w:rFonts w:cs="Arial"/>
        </w:rPr>
        <w:t>The Regulation of Investigatory Powers Act 2000 (RIPA) and the Protection of Freedoms Act 2021 legislate for the use by local authorities of covert methods of surveillance and information gathering to assist in the detection and prevention of crime in relation to and authority’s core functions.</w:t>
      </w:r>
      <w:r w:rsidR="00F837F6">
        <w:rPr>
          <w:rFonts w:cs="Arial"/>
        </w:rPr>
        <w:t xml:space="preserve"> On 26 July 2023 the Committee approved a refreshed Surveillance Policy and Procedure and requested that a flowchart be included in the document to show how RIPA authorisations would take place. </w:t>
      </w:r>
    </w:p>
    <w:p w14:paraId="3ECA2F64" w14:textId="20452422" w:rsidR="007D4A2F" w:rsidRDefault="007D4A2F" w:rsidP="000F6243">
      <w:pPr>
        <w:pStyle w:val="ListParagraph"/>
        <w:numPr>
          <w:ilvl w:val="0"/>
          <w:numId w:val="1"/>
        </w:numPr>
        <w:autoSpaceDE w:val="0"/>
        <w:autoSpaceDN w:val="0"/>
        <w:adjustRightInd w:val="0"/>
        <w:rPr>
          <w:rFonts w:cs="Arial"/>
          <w:lang w:eastAsia="en-GB"/>
        </w:rPr>
      </w:pPr>
      <w:r>
        <w:rPr>
          <w:rFonts w:cs="Arial"/>
        </w:rPr>
        <w:lastRenderedPageBreak/>
        <w:t xml:space="preserve">The Committee is asked to approve the two flowcharts contained in Appendix 1 to the report, for inclusion in the </w:t>
      </w:r>
      <w:r w:rsidRPr="007D4A2F">
        <w:rPr>
          <w:rFonts w:cs="Arial"/>
        </w:rPr>
        <w:t>Surveillance Policy and Procedure</w:t>
      </w:r>
      <w:r>
        <w:rPr>
          <w:rFonts w:cs="Arial"/>
        </w:rPr>
        <w:t>.</w:t>
      </w:r>
    </w:p>
    <w:p w14:paraId="52C9F9CC" w14:textId="77777777" w:rsidR="008812A9" w:rsidRPr="007A613E" w:rsidRDefault="008812A9" w:rsidP="007A613E">
      <w:pPr>
        <w:rPr>
          <w:rFonts w:cs="Arial"/>
          <w:lang w:eastAsia="en-GB"/>
        </w:rPr>
      </w:pPr>
    </w:p>
    <w:p w14:paraId="24725F97" w14:textId="3B24D3E2" w:rsidR="008812A9" w:rsidRDefault="008812A9" w:rsidP="008812A9">
      <w:pPr>
        <w:autoSpaceDE w:val="0"/>
        <w:autoSpaceDN w:val="0"/>
        <w:adjustRightInd w:val="0"/>
        <w:ind w:firstLine="360"/>
        <w:jc w:val="both"/>
        <w:rPr>
          <w:rFonts w:cs="Arial"/>
          <w:b/>
          <w:lang w:eastAsia="en-GB"/>
        </w:rPr>
      </w:pPr>
      <w:r w:rsidRPr="008812A9">
        <w:rPr>
          <w:rFonts w:cs="Arial"/>
          <w:b/>
          <w:lang w:eastAsia="en-GB"/>
        </w:rPr>
        <w:t>Legal Implications</w:t>
      </w:r>
    </w:p>
    <w:p w14:paraId="6771747E" w14:textId="77777777" w:rsidR="008812A9" w:rsidRDefault="008812A9" w:rsidP="008812A9">
      <w:pPr>
        <w:autoSpaceDE w:val="0"/>
        <w:autoSpaceDN w:val="0"/>
        <w:adjustRightInd w:val="0"/>
        <w:jc w:val="both"/>
        <w:rPr>
          <w:rFonts w:cs="Arial"/>
          <w:b/>
          <w:lang w:eastAsia="en-GB"/>
        </w:rPr>
      </w:pPr>
    </w:p>
    <w:p w14:paraId="5CC93738" w14:textId="696A21A4" w:rsidR="00594F9F" w:rsidRPr="00D90BB4" w:rsidRDefault="00594F9F" w:rsidP="00D90BB4">
      <w:pPr>
        <w:pStyle w:val="ListParagraph"/>
        <w:numPr>
          <w:ilvl w:val="0"/>
          <w:numId w:val="1"/>
        </w:numPr>
        <w:autoSpaceDE w:val="0"/>
        <w:autoSpaceDN w:val="0"/>
        <w:adjustRightInd w:val="0"/>
        <w:jc w:val="both"/>
        <w:rPr>
          <w:rFonts w:cs="Arial"/>
          <w:b/>
          <w:lang w:eastAsia="en-GB"/>
        </w:rPr>
      </w:pPr>
      <w:r w:rsidRPr="00D90BB4">
        <w:rPr>
          <w:rFonts w:cs="Arial"/>
          <w:lang w:eastAsia="en-GB"/>
        </w:rPr>
        <w:t xml:space="preserve">There are no legal implications </w:t>
      </w:r>
      <w:r w:rsidR="007A613E">
        <w:rPr>
          <w:rFonts w:cs="Arial"/>
          <w:lang w:eastAsia="en-GB"/>
        </w:rPr>
        <w:t>arising directly from</w:t>
      </w:r>
      <w:r w:rsidRPr="00D90BB4">
        <w:rPr>
          <w:rFonts w:cs="Arial"/>
          <w:lang w:eastAsia="en-GB"/>
        </w:rPr>
        <w:t xml:space="preserve"> this report. </w:t>
      </w:r>
    </w:p>
    <w:p w14:paraId="768E3A86" w14:textId="77777777" w:rsidR="008812A9" w:rsidRPr="008812A9" w:rsidRDefault="008812A9" w:rsidP="008812A9">
      <w:pPr>
        <w:pStyle w:val="ListParagraph"/>
        <w:rPr>
          <w:rFonts w:cs="Arial"/>
          <w:lang w:eastAsia="en-GB"/>
        </w:rPr>
      </w:pPr>
    </w:p>
    <w:p w14:paraId="0EE15BDF" w14:textId="52FB8C62" w:rsidR="008812A9" w:rsidRDefault="008812A9" w:rsidP="008812A9">
      <w:pPr>
        <w:autoSpaceDE w:val="0"/>
        <w:autoSpaceDN w:val="0"/>
        <w:adjustRightInd w:val="0"/>
        <w:ind w:firstLine="360"/>
        <w:jc w:val="both"/>
        <w:rPr>
          <w:rFonts w:cs="Arial"/>
          <w:b/>
          <w:lang w:eastAsia="en-GB"/>
        </w:rPr>
      </w:pPr>
      <w:r w:rsidRPr="008812A9">
        <w:rPr>
          <w:rFonts w:cs="Arial"/>
          <w:b/>
          <w:lang w:eastAsia="en-GB"/>
        </w:rPr>
        <w:t>Financial Implication</w:t>
      </w:r>
      <w:r>
        <w:rPr>
          <w:rFonts w:cs="Arial"/>
          <w:b/>
          <w:lang w:eastAsia="en-GB"/>
        </w:rPr>
        <w:t>s</w:t>
      </w:r>
    </w:p>
    <w:p w14:paraId="17455E40" w14:textId="77777777" w:rsidR="008812A9" w:rsidRDefault="008812A9" w:rsidP="008812A9">
      <w:pPr>
        <w:autoSpaceDE w:val="0"/>
        <w:autoSpaceDN w:val="0"/>
        <w:adjustRightInd w:val="0"/>
        <w:jc w:val="both"/>
        <w:rPr>
          <w:rFonts w:cs="Arial"/>
          <w:b/>
          <w:lang w:eastAsia="en-GB"/>
        </w:rPr>
      </w:pPr>
    </w:p>
    <w:p w14:paraId="5B3D7E23" w14:textId="7DEAF14D" w:rsidR="008812A9" w:rsidRPr="008812A9" w:rsidRDefault="00594F9F" w:rsidP="00D90BB4">
      <w:pPr>
        <w:pStyle w:val="ListParagraph"/>
        <w:numPr>
          <w:ilvl w:val="0"/>
          <w:numId w:val="1"/>
        </w:numPr>
        <w:autoSpaceDE w:val="0"/>
        <w:autoSpaceDN w:val="0"/>
        <w:adjustRightInd w:val="0"/>
        <w:jc w:val="both"/>
        <w:rPr>
          <w:rFonts w:cs="Arial"/>
          <w:b/>
          <w:lang w:eastAsia="en-GB"/>
        </w:rPr>
      </w:pPr>
      <w:r>
        <w:rPr>
          <w:rFonts w:cs="Arial"/>
          <w:lang w:eastAsia="en-GB"/>
        </w:rPr>
        <w:t xml:space="preserve">There are no financial implications </w:t>
      </w:r>
      <w:r w:rsidR="00F3648C">
        <w:rPr>
          <w:rFonts w:cs="Arial"/>
          <w:lang w:eastAsia="en-GB"/>
        </w:rPr>
        <w:t>arising directly from this report.</w:t>
      </w:r>
    </w:p>
    <w:p w14:paraId="31156805" w14:textId="77777777" w:rsidR="00C42CC1" w:rsidRPr="00C42CC1" w:rsidRDefault="00C42CC1" w:rsidP="00C42CC1">
      <w:pPr>
        <w:pStyle w:val="ListParagraph"/>
        <w:rPr>
          <w:rFonts w:cs="Arial"/>
          <w:lang w:eastAsia="en-GB"/>
        </w:rPr>
      </w:pPr>
    </w:p>
    <w:p w14:paraId="162C37AA" w14:textId="77777777" w:rsidR="001A66D3" w:rsidRDefault="001A66D3" w:rsidP="00036F46">
      <w:pPr>
        <w:rPr>
          <w:rFonts w:cs="Arial"/>
        </w:rPr>
      </w:pPr>
    </w:p>
    <w:p w14:paraId="7BAAECC0" w14:textId="77777777" w:rsidR="001A66D3" w:rsidRPr="001A66D3" w:rsidRDefault="001A66D3" w:rsidP="001A66D3">
      <w:pPr>
        <w:rPr>
          <w:sz w:val="20"/>
        </w:rPr>
      </w:pP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rsidTr="007A613E">
        <w:tc>
          <w:tcPr>
            <w:tcW w:w="8296" w:type="dxa"/>
          </w:tcPr>
          <w:p w14:paraId="4D728C64" w14:textId="77777777" w:rsidR="00713675" w:rsidRDefault="00713675" w:rsidP="00855C66">
            <w:pPr>
              <w:tabs>
                <w:tab w:val="left" w:pos="720"/>
                <w:tab w:val="left" w:pos="1440"/>
                <w:tab w:val="left" w:pos="2160"/>
                <w:tab w:val="left" w:pos="2880"/>
              </w:tabs>
            </w:pPr>
            <w:r>
              <w:rPr>
                <w:b/>
                <w:bCs/>
              </w:rPr>
              <w:t xml:space="preserve">Name and contact details of </w:t>
            </w:r>
            <w:proofErr w:type="gramStart"/>
            <w:r>
              <w:rPr>
                <w:b/>
                <w:bCs/>
              </w:rPr>
              <w:t>author:-</w:t>
            </w:r>
            <w:proofErr w:type="gramEnd"/>
          </w:p>
        </w:tc>
      </w:tr>
      <w:tr w:rsidR="00713675" w14:paraId="5EB30A63" w14:textId="77777777" w:rsidTr="007A613E">
        <w:tc>
          <w:tcPr>
            <w:tcW w:w="8296" w:type="dxa"/>
          </w:tcPr>
          <w:p w14:paraId="77062DDB" w14:textId="58A47FF6" w:rsidR="00713675" w:rsidRDefault="007A613E" w:rsidP="00855C66">
            <w:pPr>
              <w:tabs>
                <w:tab w:val="left" w:pos="720"/>
                <w:tab w:val="left" w:pos="1440"/>
                <w:tab w:val="left" w:pos="2160"/>
                <w:tab w:val="left" w:pos="2880"/>
              </w:tabs>
            </w:pPr>
            <w:r>
              <w:t>Emma Griffiths</w:t>
            </w:r>
          </w:p>
          <w:p w14:paraId="6FBD9FB3" w14:textId="5CED39B1" w:rsidR="007A613E" w:rsidRDefault="00F837F6" w:rsidP="00855C66">
            <w:pPr>
              <w:tabs>
                <w:tab w:val="left" w:pos="720"/>
                <w:tab w:val="left" w:pos="1440"/>
                <w:tab w:val="left" w:pos="2160"/>
                <w:tab w:val="left" w:pos="2880"/>
              </w:tabs>
            </w:pPr>
            <w:r>
              <w:t>Interim Legal Services Manager</w:t>
            </w:r>
          </w:p>
          <w:p w14:paraId="6AC9E715" w14:textId="39CDE3A6" w:rsidR="007A613E" w:rsidRDefault="007A613E" w:rsidP="00855C66">
            <w:pPr>
              <w:tabs>
                <w:tab w:val="left" w:pos="720"/>
                <w:tab w:val="left" w:pos="1440"/>
                <w:tab w:val="left" w:pos="2160"/>
                <w:tab w:val="left" w:pos="2880"/>
              </w:tabs>
            </w:pPr>
            <w:r>
              <w:t>Law &amp; Governance</w:t>
            </w:r>
          </w:p>
        </w:tc>
      </w:tr>
      <w:tr w:rsidR="00713675" w14:paraId="531372AB" w14:textId="77777777" w:rsidTr="007A613E">
        <w:tc>
          <w:tcPr>
            <w:tcW w:w="8296" w:type="dxa"/>
          </w:tcPr>
          <w:p w14:paraId="438B539C" w14:textId="2F75074E" w:rsidR="00713675" w:rsidRDefault="00713675" w:rsidP="007A613E">
            <w:pPr>
              <w:tabs>
                <w:tab w:val="left" w:pos="720"/>
                <w:tab w:val="left" w:pos="1440"/>
                <w:tab w:val="left" w:pos="2160"/>
                <w:tab w:val="left" w:pos="2880"/>
              </w:tabs>
              <w:rPr>
                <w:color w:val="0000FF"/>
                <w:u w:val="single"/>
              </w:rPr>
            </w:pPr>
            <w:r>
              <w:t xml:space="preserve">Tel:  01865 </w:t>
            </w:r>
            <w:proofErr w:type="gramStart"/>
            <w:r w:rsidR="00E55FA1">
              <w:t>252</w:t>
            </w:r>
            <w:r w:rsidR="007A613E">
              <w:t>208</w:t>
            </w:r>
            <w:r>
              <w:t xml:space="preserve">  e-mail</w:t>
            </w:r>
            <w:proofErr w:type="gramEnd"/>
            <w:r>
              <w:t xml:space="preserve">:  </w:t>
            </w:r>
            <w:r w:rsidR="007A613E">
              <w:t>egriffiths@oxford.gov.uk</w:t>
            </w:r>
          </w:p>
        </w:tc>
      </w:tr>
    </w:tbl>
    <w:p w14:paraId="2C22F2A6" w14:textId="77777777" w:rsidR="00F4367A" w:rsidRDefault="00F4367A" w:rsidP="00F01CEC">
      <w:pPr>
        <w:rPr>
          <w:rFonts w:cs="Arial"/>
          <w:b/>
          <w:bCs/>
          <w:sz w:val="20"/>
        </w:rPr>
      </w:pPr>
    </w:p>
    <w:sectPr w:rsidR="00F4367A" w:rsidSect="00395E75">
      <w:footerReference w:type="default" r:id="rId9"/>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C26B" w14:textId="77777777" w:rsidR="004979BF" w:rsidRDefault="004979BF">
      <w:r>
        <w:separator/>
      </w:r>
    </w:p>
  </w:endnote>
  <w:endnote w:type="continuationSeparator" w:id="0">
    <w:p w14:paraId="34629035" w14:textId="77777777" w:rsidR="004979BF" w:rsidRDefault="004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383DDF">
          <w:rPr>
            <w:noProof/>
          </w:rPr>
          <w:t>1</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F36F" w14:textId="77777777" w:rsidR="004979BF" w:rsidRDefault="004979BF">
      <w:r>
        <w:separator/>
      </w:r>
    </w:p>
  </w:footnote>
  <w:footnote w:type="continuationSeparator" w:id="0">
    <w:p w14:paraId="4D230CF3" w14:textId="77777777" w:rsidR="004979BF" w:rsidRDefault="00497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35CB"/>
    <w:multiLevelType w:val="hybridMultilevel"/>
    <w:tmpl w:val="BB3ED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D724C2"/>
    <w:multiLevelType w:val="hybridMultilevel"/>
    <w:tmpl w:val="C2385A9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70C56"/>
    <w:multiLevelType w:val="hybridMultilevel"/>
    <w:tmpl w:val="C2385A9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20CEB"/>
    <w:multiLevelType w:val="hybridMultilevel"/>
    <w:tmpl w:val="806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08FE"/>
    <w:multiLevelType w:val="hybridMultilevel"/>
    <w:tmpl w:val="67EC3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7" w15:restartNumberingAfterBreak="0">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08213296">
    <w:abstractNumId w:val="2"/>
  </w:num>
  <w:num w:numId="2" w16cid:durableId="1566602326">
    <w:abstractNumId w:val="18"/>
  </w:num>
  <w:num w:numId="3" w16cid:durableId="838808352">
    <w:abstractNumId w:val="11"/>
  </w:num>
  <w:num w:numId="4" w16cid:durableId="421220538">
    <w:abstractNumId w:val="14"/>
  </w:num>
  <w:num w:numId="5" w16cid:durableId="2076734062">
    <w:abstractNumId w:val="4"/>
  </w:num>
  <w:num w:numId="6" w16cid:durableId="1329945562">
    <w:abstractNumId w:val="3"/>
  </w:num>
  <w:num w:numId="7" w16cid:durableId="992609855">
    <w:abstractNumId w:val="0"/>
  </w:num>
  <w:num w:numId="8" w16cid:durableId="1890722103">
    <w:abstractNumId w:val="7"/>
  </w:num>
  <w:num w:numId="9" w16cid:durableId="191889956">
    <w:abstractNumId w:val="15"/>
  </w:num>
  <w:num w:numId="10" w16cid:durableId="949505274">
    <w:abstractNumId w:val="12"/>
  </w:num>
  <w:num w:numId="11" w16cid:durableId="1214728917">
    <w:abstractNumId w:val="10"/>
  </w:num>
  <w:num w:numId="12" w16cid:durableId="1059481360">
    <w:abstractNumId w:val="13"/>
  </w:num>
  <w:num w:numId="13" w16cid:durableId="1934781114">
    <w:abstractNumId w:val="16"/>
  </w:num>
  <w:num w:numId="14" w16cid:durableId="90047915">
    <w:abstractNumId w:val="17"/>
  </w:num>
  <w:num w:numId="15" w16cid:durableId="1926452613">
    <w:abstractNumId w:val="5"/>
  </w:num>
  <w:num w:numId="16" w16cid:durableId="1031493076">
    <w:abstractNumId w:val="1"/>
  </w:num>
  <w:num w:numId="17" w16cid:durableId="236406304">
    <w:abstractNumId w:val="9"/>
  </w:num>
  <w:num w:numId="18" w16cid:durableId="106589038">
    <w:abstractNumId w:val="6"/>
  </w:num>
  <w:num w:numId="19" w16cid:durableId="197494716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156F"/>
    <w:rsid w:val="00061BBD"/>
    <w:rsid w:val="0006271F"/>
    <w:rsid w:val="00063AFE"/>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6D93"/>
    <w:rsid w:val="000B713A"/>
    <w:rsid w:val="000C15C1"/>
    <w:rsid w:val="000C2410"/>
    <w:rsid w:val="000C3928"/>
    <w:rsid w:val="000C4BAF"/>
    <w:rsid w:val="000D30F5"/>
    <w:rsid w:val="000D4BAE"/>
    <w:rsid w:val="000E3A8A"/>
    <w:rsid w:val="000E3C8F"/>
    <w:rsid w:val="000E6718"/>
    <w:rsid w:val="000E6B3C"/>
    <w:rsid w:val="000F0F61"/>
    <w:rsid w:val="000F6243"/>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644E"/>
    <w:rsid w:val="00186B7B"/>
    <w:rsid w:val="00187847"/>
    <w:rsid w:val="001878F4"/>
    <w:rsid w:val="00191A1B"/>
    <w:rsid w:val="001974C0"/>
    <w:rsid w:val="001A5BB0"/>
    <w:rsid w:val="001A66D3"/>
    <w:rsid w:val="001B1B55"/>
    <w:rsid w:val="001B2B99"/>
    <w:rsid w:val="001B3501"/>
    <w:rsid w:val="001B41B8"/>
    <w:rsid w:val="001B5C57"/>
    <w:rsid w:val="001C0875"/>
    <w:rsid w:val="001C09D5"/>
    <w:rsid w:val="001C2177"/>
    <w:rsid w:val="001C2BEE"/>
    <w:rsid w:val="001C4FDF"/>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47834"/>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C592C"/>
    <w:rsid w:val="002D3D47"/>
    <w:rsid w:val="002E0FC4"/>
    <w:rsid w:val="002F47A5"/>
    <w:rsid w:val="002F7280"/>
    <w:rsid w:val="00302A89"/>
    <w:rsid w:val="00302AD0"/>
    <w:rsid w:val="00302C1D"/>
    <w:rsid w:val="00307935"/>
    <w:rsid w:val="00311DCC"/>
    <w:rsid w:val="00312459"/>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1F6F"/>
    <w:rsid w:val="00363868"/>
    <w:rsid w:val="00364C98"/>
    <w:rsid w:val="00365ADB"/>
    <w:rsid w:val="003677F2"/>
    <w:rsid w:val="00375FCC"/>
    <w:rsid w:val="003800A7"/>
    <w:rsid w:val="00381606"/>
    <w:rsid w:val="00383DDF"/>
    <w:rsid w:val="00385846"/>
    <w:rsid w:val="00391798"/>
    <w:rsid w:val="0039181F"/>
    <w:rsid w:val="00395E75"/>
    <w:rsid w:val="003A0019"/>
    <w:rsid w:val="003A27B1"/>
    <w:rsid w:val="003A3949"/>
    <w:rsid w:val="003A626C"/>
    <w:rsid w:val="003B0413"/>
    <w:rsid w:val="003D0AE3"/>
    <w:rsid w:val="003D2C71"/>
    <w:rsid w:val="003D7522"/>
    <w:rsid w:val="003E2329"/>
    <w:rsid w:val="003F04A4"/>
    <w:rsid w:val="003F3DDB"/>
    <w:rsid w:val="003F6233"/>
    <w:rsid w:val="0040008B"/>
    <w:rsid w:val="0040038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6ACB"/>
    <w:rsid w:val="00446FDB"/>
    <w:rsid w:val="00447892"/>
    <w:rsid w:val="0045218C"/>
    <w:rsid w:val="00465C44"/>
    <w:rsid w:val="00465EAF"/>
    <w:rsid w:val="00466414"/>
    <w:rsid w:val="004672DE"/>
    <w:rsid w:val="0047428F"/>
    <w:rsid w:val="004761D2"/>
    <w:rsid w:val="00476314"/>
    <w:rsid w:val="00481D82"/>
    <w:rsid w:val="004832DF"/>
    <w:rsid w:val="00486F1C"/>
    <w:rsid w:val="004870FB"/>
    <w:rsid w:val="004879FF"/>
    <w:rsid w:val="00491015"/>
    <w:rsid w:val="00491CC8"/>
    <w:rsid w:val="00492497"/>
    <w:rsid w:val="004929C0"/>
    <w:rsid w:val="00493366"/>
    <w:rsid w:val="0049366C"/>
    <w:rsid w:val="00494E8C"/>
    <w:rsid w:val="00495346"/>
    <w:rsid w:val="00495B9F"/>
    <w:rsid w:val="004979BF"/>
    <w:rsid w:val="004A155C"/>
    <w:rsid w:val="004A1F3A"/>
    <w:rsid w:val="004A414B"/>
    <w:rsid w:val="004A5164"/>
    <w:rsid w:val="004A6E19"/>
    <w:rsid w:val="004A7601"/>
    <w:rsid w:val="004A77C5"/>
    <w:rsid w:val="004B2009"/>
    <w:rsid w:val="004B20D8"/>
    <w:rsid w:val="004B33E2"/>
    <w:rsid w:val="004B3B92"/>
    <w:rsid w:val="004B68AE"/>
    <w:rsid w:val="004B69C5"/>
    <w:rsid w:val="004C5A8B"/>
    <w:rsid w:val="004C5B6A"/>
    <w:rsid w:val="004C6616"/>
    <w:rsid w:val="004C71E8"/>
    <w:rsid w:val="004D0250"/>
    <w:rsid w:val="004E00EF"/>
    <w:rsid w:val="004E4791"/>
    <w:rsid w:val="00502CA7"/>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60D46"/>
    <w:rsid w:val="00563293"/>
    <w:rsid w:val="0056670B"/>
    <w:rsid w:val="00567EFF"/>
    <w:rsid w:val="005729D3"/>
    <w:rsid w:val="00573FF8"/>
    <w:rsid w:val="00574FAA"/>
    <w:rsid w:val="00577436"/>
    <w:rsid w:val="0058032C"/>
    <w:rsid w:val="005810D4"/>
    <w:rsid w:val="0058170A"/>
    <w:rsid w:val="00582513"/>
    <w:rsid w:val="0058542B"/>
    <w:rsid w:val="00594F9F"/>
    <w:rsid w:val="00595075"/>
    <w:rsid w:val="005A2CE4"/>
    <w:rsid w:val="005A30DF"/>
    <w:rsid w:val="005A6D59"/>
    <w:rsid w:val="005A73B0"/>
    <w:rsid w:val="005B678B"/>
    <w:rsid w:val="005B7A29"/>
    <w:rsid w:val="005C2014"/>
    <w:rsid w:val="005C256E"/>
    <w:rsid w:val="005C5303"/>
    <w:rsid w:val="005D0BF3"/>
    <w:rsid w:val="005D5FAF"/>
    <w:rsid w:val="005D5FD9"/>
    <w:rsid w:val="005E1029"/>
    <w:rsid w:val="005E30A1"/>
    <w:rsid w:val="005E6162"/>
    <w:rsid w:val="005F1B30"/>
    <w:rsid w:val="005F7ECB"/>
    <w:rsid w:val="00603267"/>
    <w:rsid w:val="00604B06"/>
    <w:rsid w:val="0060790A"/>
    <w:rsid w:val="006109E8"/>
    <w:rsid w:val="00617287"/>
    <w:rsid w:val="0061750F"/>
    <w:rsid w:val="00617E55"/>
    <w:rsid w:val="00623C2F"/>
    <w:rsid w:val="0062633E"/>
    <w:rsid w:val="0063375F"/>
    <w:rsid w:val="006373F5"/>
    <w:rsid w:val="0064013D"/>
    <w:rsid w:val="00640FDA"/>
    <w:rsid w:val="00646FC7"/>
    <w:rsid w:val="00647D15"/>
    <w:rsid w:val="00654D52"/>
    <w:rsid w:val="006619B7"/>
    <w:rsid w:val="00663062"/>
    <w:rsid w:val="00663BCC"/>
    <w:rsid w:val="00664156"/>
    <w:rsid w:val="00665459"/>
    <w:rsid w:val="00665FB1"/>
    <w:rsid w:val="00666AFD"/>
    <w:rsid w:val="00666CB3"/>
    <w:rsid w:val="006714E7"/>
    <w:rsid w:val="00674107"/>
    <w:rsid w:val="00677435"/>
    <w:rsid w:val="00681B40"/>
    <w:rsid w:val="00692F52"/>
    <w:rsid w:val="0069448D"/>
    <w:rsid w:val="006945DE"/>
    <w:rsid w:val="00694F2E"/>
    <w:rsid w:val="0069568A"/>
    <w:rsid w:val="00696543"/>
    <w:rsid w:val="006979B5"/>
    <w:rsid w:val="006A1FF0"/>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7E40"/>
    <w:rsid w:val="00780F77"/>
    <w:rsid w:val="00782EAD"/>
    <w:rsid w:val="007830B1"/>
    <w:rsid w:val="0078570D"/>
    <w:rsid w:val="00785D6D"/>
    <w:rsid w:val="007878F2"/>
    <w:rsid w:val="007902B2"/>
    <w:rsid w:val="00790CC4"/>
    <w:rsid w:val="00790EA7"/>
    <w:rsid w:val="007A1541"/>
    <w:rsid w:val="007A4803"/>
    <w:rsid w:val="007A5B2A"/>
    <w:rsid w:val="007A613E"/>
    <w:rsid w:val="007B675D"/>
    <w:rsid w:val="007B6E54"/>
    <w:rsid w:val="007B7C0A"/>
    <w:rsid w:val="007B7D9D"/>
    <w:rsid w:val="007D3155"/>
    <w:rsid w:val="007D4A2F"/>
    <w:rsid w:val="007D5FAC"/>
    <w:rsid w:val="007D790A"/>
    <w:rsid w:val="007E26AE"/>
    <w:rsid w:val="007E51E2"/>
    <w:rsid w:val="007F2AD3"/>
    <w:rsid w:val="007F2EA3"/>
    <w:rsid w:val="007F4C89"/>
    <w:rsid w:val="0080046D"/>
    <w:rsid w:val="00800A36"/>
    <w:rsid w:val="008011D5"/>
    <w:rsid w:val="00805BB0"/>
    <w:rsid w:val="008075A2"/>
    <w:rsid w:val="0081180D"/>
    <w:rsid w:val="0082325F"/>
    <w:rsid w:val="00825D98"/>
    <w:rsid w:val="00832739"/>
    <w:rsid w:val="0084231F"/>
    <w:rsid w:val="00843468"/>
    <w:rsid w:val="00843C66"/>
    <w:rsid w:val="00850282"/>
    <w:rsid w:val="00851A20"/>
    <w:rsid w:val="008523FA"/>
    <w:rsid w:val="0085571A"/>
    <w:rsid w:val="00855C66"/>
    <w:rsid w:val="008602E6"/>
    <w:rsid w:val="00862AB0"/>
    <w:rsid w:val="0086540F"/>
    <w:rsid w:val="00871174"/>
    <w:rsid w:val="00875793"/>
    <w:rsid w:val="008808C4"/>
    <w:rsid w:val="008812A9"/>
    <w:rsid w:val="00884DB5"/>
    <w:rsid w:val="0088597E"/>
    <w:rsid w:val="008875F6"/>
    <w:rsid w:val="00892395"/>
    <w:rsid w:val="008936C3"/>
    <w:rsid w:val="008A03ED"/>
    <w:rsid w:val="008A4F30"/>
    <w:rsid w:val="008A4FB8"/>
    <w:rsid w:val="008A548A"/>
    <w:rsid w:val="008B0EC1"/>
    <w:rsid w:val="008C78D4"/>
    <w:rsid w:val="008D3B63"/>
    <w:rsid w:val="008D3DDB"/>
    <w:rsid w:val="008E422A"/>
    <w:rsid w:val="008E56BB"/>
    <w:rsid w:val="008E7E0C"/>
    <w:rsid w:val="008F1AAB"/>
    <w:rsid w:val="008F2157"/>
    <w:rsid w:val="008F264B"/>
    <w:rsid w:val="008F4C31"/>
    <w:rsid w:val="00903ADD"/>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EDA"/>
    <w:rsid w:val="00971689"/>
    <w:rsid w:val="00973E90"/>
    <w:rsid w:val="009748AD"/>
    <w:rsid w:val="009749B2"/>
    <w:rsid w:val="009838EC"/>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53648"/>
    <w:rsid w:val="00A5465C"/>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91A"/>
    <w:rsid w:val="00AE5AB8"/>
    <w:rsid w:val="00AE6F22"/>
    <w:rsid w:val="00AF136A"/>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96F4C"/>
    <w:rsid w:val="00BA118B"/>
    <w:rsid w:val="00BA4032"/>
    <w:rsid w:val="00BA5CEB"/>
    <w:rsid w:val="00BA7154"/>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692F"/>
    <w:rsid w:val="00C2724A"/>
    <w:rsid w:val="00C309D1"/>
    <w:rsid w:val="00C334BE"/>
    <w:rsid w:val="00C3462F"/>
    <w:rsid w:val="00C3490B"/>
    <w:rsid w:val="00C35974"/>
    <w:rsid w:val="00C36AFE"/>
    <w:rsid w:val="00C41EB4"/>
    <w:rsid w:val="00C42CC1"/>
    <w:rsid w:val="00C43F63"/>
    <w:rsid w:val="00C45EEB"/>
    <w:rsid w:val="00C57109"/>
    <w:rsid w:val="00C57D42"/>
    <w:rsid w:val="00C61E57"/>
    <w:rsid w:val="00C63854"/>
    <w:rsid w:val="00C6668D"/>
    <w:rsid w:val="00C67A18"/>
    <w:rsid w:val="00C80051"/>
    <w:rsid w:val="00C81994"/>
    <w:rsid w:val="00C82D50"/>
    <w:rsid w:val="00C87E5E"/>
    <w:rsid w:val="00C919EB"/>
    <w:rsid w:val="00C92BB5"/>
    <w:rsid w:val="00C95830"/>
    <w:rsid w:val="00C95D70"/>
    <w:rsid w:val="00CB5690"/>
    <w:rsid w:val="00CC2D43"/>
    <w:rsid w:val="00CC3662"/>
    <w:rsid w:val="00CC54B4"/>
    <w:rsid w:val="00CD0ACF"/>
    <w:rsid w:val="00CD1191"/>
    <w:rsid w:val="00CE0CB5"/>
    <w:rsid w:val="00CE1D03"/>
    <w:rsid w:val="00CE3622"/>
    <w:rsid w:val="00CE3F98"/>
    <w:rsid w:val="00CE476A"/>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DE2"/>
    <w:rsid w:val="00D628BA"/>
    <w:rsid w:val="00D637B1"/>
    <w:rsid w:val="00D710AB"/>
    <w:rsid w:val="00D71587"/>
    <w:rsid w:val="00D7284F"/>
    <w:rsid w:val="00D81D56"/>
    <w:rsid w:val="00D85CE2"/>
    <w:rsid w:val="00D87266"/>
    <w:rsid w:val="00D90BB4"/>
    <w:rsid w:val="00D935C2"/>
    <w:rsid w:val="00D96083"/>
    <w:rsid w:val="00DA0B0F"/>
    <w:rsid w:val="00DA13A8"/>
    <w:rsid w:val="00DA1441"/>
    <w:rsid w:val="00DA3510"/>
    <w:rsid w:val="00DB3269"/>
    <w:rsid w:val="00DB5AE5"/>
    <w:rsid w:val="00DB79C5"/>
    <w:rsid w:val="00DC598A"/>
    <w:rsid w:val="00DD2E07"/>
    <w:rsid w:val="00DD3A1F"/>
    <w:rsid w:val="00DD3D8A"/>
    <w:rsid w:val="00DE3160"/>
    <w:rsid w:val="00DE3B9E"/>
    <w:rsid w:val="00DE4FAE"/>
    <w:rsid w:val="00DE5B61"/>
    <w:rsid w:val="00DE6130"/>
    <w:rsid w:val="00DE6CBD"/>
    <w:rsid w:val="00DE79DF"/>
    <w:rsid w:val="00DF0A83"/>
    <w:rsid w:val="00DF12AB"/>
    <w:rsid w:val="00DF404C"/>
    <w:rsid w:val="00DF7A98"/>
    <w:rsid w:val="00DF7B52"/>
    <w:rsid w:val="00DF7ECA"/>
    <w:rsid w:val="00E01F42"/>
    <w:rsid w:val="00E01FB9"/>
    <w:rsid w:val="00E108BC"/>
    <w:rsid w:val="00E11A0D"/>
    <w:rsid w:val="00E12A56"/>
    <w:rsid w:val="00E145FC"/>
    <w:rsid w:val="00E166ED"/>
    <w:rsid w:val="00E17550"/>
    <w:rsid w:val="00E17CB4"/>
    <w:rsid w:val="00E17DD9"/>
    <w:rsid w:val="00E26E93"/>
    <w:rsid w:val="00E316EE"/>
    <w:rsid w:val="00E3458C"/>
    <w:rsid w:val="00E35866"/>
    <w:rsid w:val="00E37717"/>
    <w:rsid w:val="00E52F86"/>
    <w:rsid w:val="00E55FA1"/>
    <w:rsid w:val="00E61B3A"/>
    <w:rsid w:val="00E67085"/>
    <w:rsid w:val="00E71032"/>
    <w:rsid w:val="00E726E4"/>
    <w:rsid w:val="00E846DD"/>
    <w:rsid w:val="00E87C12"/>
    <w:rsid w:val="00E92623"/>
    <w:rsid w:val="00E93DA4"/>
    <w:rsid w:val="00E9647C"/>
    <w:rsid w:val="00E96638"/>
    <w:rsid w:val="00EA05D8"/>
    <w:rsid w:val="00EA0DB1"/>
    <w:rsid w:val="00EA2FDD"/>
    <w:rsid w:val="00EA3AE4"/>
    <w:rsid w:val="00EB343E"/>
    <w:rsid w:val="00EB5E5B"/>
    <w:rsid w:val="00EC5892"/>
    <w:rsid w:val="00EC6A09"/>
    <w:rsid w:val="00ED1932"/>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48C"/>
    <w:rsid w:val="00F36743"/>
    <w:rsid w:val="00F40B43"/>
    <w:rsid w:val="00F4367A"/>
    <w:rsid w:val="00F4735F"/>
    <w:rsid w:val="00F4742F"/>
    <w:rsid w:val="00F52A3F"/>
    <w:rsid w:val="00F52D21"/>
    <w:rsid w:val="00F57729"/>
    <w:rsid w:val="00F57CCB"/>
    <w:rsid w:val="00F6212A"/>
    <w:rsid w:val="00F62183"/>
    <w:rsid w:val="00F63185"/>
    <w:rsid w:val="00F64311"/>
    <w:rsid w:val="00F645D3"/>
    <w:rsid w:val="00F65852"/>
    <w:rsid w:val="00F724D6"/>
    <w:rsid w:val="00F727F2"/>
    <w:rsid w:val="00F734D8"/>
    <w:rsid w:val="00F7606D"/>
    <w:rsid w:val="00F771E0"/>
    <w:rsid w:val="00F777B0"/>
    <w:rsid w:val="00F778B2"/>
    <w:rsid w:val="00F835F0"/>
    <w:rsid w:val="00F837F6"/>
    <w:rsid w:val="00F83EE5"/>
    <w:rsid w:val="00F855DE"/>
    <w:rsid w:val="00F95354"/>
    <w:rsid w:val="00F95B40"/>
    <w:rsid w:val="00F968E3"/>
    <w:rsid w:val="00FA2E62"/>
    <w:rsid w:val="00FA624C"/>
    <w:rsid w:val="00FA7264"/>
    <w:rsid w:val="00FB70FE"/>
    <w:rsid w:val="00FC03A1"/>
    <w:rsid w:val="00FC159D"/>
    <w:rsid w:val="00FC3AB3"/>
    <w:rsid w:val="00FC69D4"/>
    <w:rsid w:val="00FC7F80"/>
    <w:rsid w:val="00FD0EB3"/>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5A6A-F6E6-4C2A-BC6A-8E487DD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Lucy</cp:lastModifiedBy>
  <cp:revision>2</cp:revision>
  <cp:lastPrinted>2015-06-16T14:48:00Z</cp:lastPrinted>
  <dcterms:created xsi:type="dcterms:W3CDTF">2023-09-15T13:00:00Z</dcterms:created>
  <dcterms:modified xsi:type="dcterms:W3CDTF">2023-09-15T13:00:00Z</dcterms:modified>
</cp:coreProperties>
</file>